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 w:rsidP="0002651a">
      <w:pPr>
        <w:pStyle w:val="Normal"/>
        <w:jc w:val="center"/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textAlignment w:val="baseline"/>
        <w:sectPr>
          <w:footerReference w:type="even" r:id="rId3"/>
          <w:footerReference w:type="default" r:id="rId4"/>
          <w:type w:val="nextPage"/>
          <w:pgSz w:h="16838" w:w="11906" w:orient="portrait"/>
          <w:pgMar w:gutter="0" w:header="851" w:top="1304" w:bottom="1134" w:footer="992" w:left="1474" w:right="1474"/>
          <w:paperSrc w:first="0" w:other="0"/>
          <w:lnNumType w:countBy="0"/>
          <w:cols w:space="425" w:num="1"/>
          <w:vAlign w:val="top"/>
          <w:docGrid w:charSpace="0" w:linePitch="312" w:type="lines"/>
        </w:sectPr>
      </w:pPr>
      <w:r w:rsidR="0002651a">
        <w:rPr>
          <w:rStyle w:val="NormalCharacter"/>
          <w:szCs w:val="28"/>
          <w:kern w:val="2"/>
          <w:lang w:val="en-US" w:eastAsia="zh-CN" w:bidi="ar-SA"/>
          <w:b w:val="1"/>
          <w:i w:val="0"/>
          <w:sz w:val="28"/>
          <w:spacing w:val="0"/>
          <w:w w:val="100"/>
          <w:rFonts w:eastAsia="宋体"/>
          <w:caps w:val="0"/>
        </w:rPr>
        <w:t xml:space="preserve">建设工程法律业务交流课题大纲</w:t>
      </w:r>
    </w:p>
    <w:p w:rsidP="0002651a">
      <w:pPr>
        <w:pStyle w:val="Normal"/>
        <w:jc w:val="center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02651a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与工程有关的法律法规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司法解释，规范性文件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三通一平、七通一平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临时用地、临建设施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开工典礼与开工日期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开工日期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竣工日期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施工组织设计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施工方案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施工进度计划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工程图纸审查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图纸会审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第一次工地会议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工地例会纪要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工作联系单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工程签证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工程索赔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工程洽商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补充协议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施工日志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监理日志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施工资料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监理资料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质量监管资料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电子数据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</w:t>
      </w: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视听资料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以房抵债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以物抵债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设计变更、工程变更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合同外工程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工程分包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</w:t>
      </w: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转包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工程挂靠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材料</w:t>
      </w: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设备</w:t>
      </w: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供应、采购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甲供材料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固定总价合同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固定单价合同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可调价合同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成本加酬金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材料涨价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情势变更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工程预付款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工程进度款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工程结算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工程垫资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项目融资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企业现金流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商业承兑汇票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银行承兑汇票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合同工期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工程质量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安全管理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合同主体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工程范围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合同内容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合同的履行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合同效力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违约责任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损失赔偿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减损义务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意思表示一致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权利放弃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利息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案件管辖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工程纠纷审判现状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背靠背条款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停工、窝工损失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人工、机械闲置损失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</w:t>
      </w: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质量</w:t>
      </w: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鉴定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工程造价鉴定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工期鉴定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工程质量原因鉴定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工程修复方案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维修费用鉴定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工期延误原因鉴定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延误造成损失鉴定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现场勘验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工程总承包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施工总承包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联合体投标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联合承包人责任承担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企业资质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个人承包工程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内部承包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交叉施工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项目经理权限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职务代理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表见代理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项目部合同签订权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项目部公章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签字、盖章的法律意义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项目部对外公示资料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工程质量报监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安全报监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机械设备备案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挂靠人的代理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分包人的代理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农民工工资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农民工工资专用账户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超付追偿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劳务分包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专业分包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指定分包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专业人士注意义务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工程侵权责任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优先权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抵押权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工伤保险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安全责任险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意外伤害险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雇主责任险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预付款担保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工程款支付担保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履约担保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投标担保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规划许可证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施工许可证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预售许可证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竣工验收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竣工验收备案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综合验收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工程合格的认定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人工费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材料费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机械使用费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管理费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利润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税金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计日工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暂估价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暂定价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暂列金额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措施项目费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规费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总承包服务费、配合费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劳务费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安全文明施工费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人防工程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水、电费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下浮率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质量保证金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缺陷责任期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合同组成文件的效力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合作开发方的付款义务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开发票</w:t>
      </w: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与工程款支付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工期延误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擅自使用工程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工程保修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建设期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运营期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合同解除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实际施工人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合同相对性突破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代位权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资料作为证据管理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工程纠纷诉讼与仲裁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工程审计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工程审价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标准合同文件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建设工程合同</w:t>
      </w: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范本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通用条款的法律地位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专用条款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定额计价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清单计价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工程量风险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工程单价风险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赶工费用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工程利润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半拉子、烂尾工程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甩项工程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工程纠纷边界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自认、确认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违章建筑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司法拍卖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不可抗力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不利地质条件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异常气候条件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政府行为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法律法规变化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426492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环保政策影响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工程常见法律责任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招标文件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投标文件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招标控制价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投标价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中标价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合同价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工程造价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不平衡报价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串通投标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实质性影响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低于成本价中标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招标图纸与施工图纸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800737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工程折价拍卖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工程实施常见纠纷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f00b1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企业合规管理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197d9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非诉程序解决纠纷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专业律师与普通律师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工程项目专项法律服务</w:t>
      </w:r>
    </w:p>
    <w:p w:rsidP="004e344b">
      <w:pPr>
        <w:pStyle w:val="Normal"/>
        <w:jc w:val="both"/>
        <w:numPr>
          <w:ilvl w:val="0"/>
          <w:numId w:val="1"/>
        </w:numPr>
        <w:spacing w:before="0" w:beforeAutospacing="0" w:after="0" w:afterAutospacing="0" w:line="4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snapToGrid w:val="0"/>
        <w:ind w:left="0" w:firstLine="0"/>
        <w:textAlignment w:val="baseline"/>
      </w:pPr>
      <w:r w:rsidR="00f13a6f"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eastAsia="宋体"/>
          <w:caps w:val="0"/>
        </w:rPr>
        <w:t xml:space="preserve">全过程法律服务</w:t>
      </w:r>
    </w:p>
    <w:sectPr>
      <w:type w:val="continuous"/>
      <w:pgSz w:h="16838" w:w="11906" w:orient="portrait"/>
      <w:pgMar w:gutter="0" w:header="851" w:top="1304" w:bottom="1134" w:footer="992" w:left="1474" w:right="1474"/>
      <w:paperSrc w:first="0" w:other="0"/>
      <w:lnNumType w:countBy="0"/>
      <w:cols w:space="425" w:num="3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20007a87" w:usb1="80000000" w:usb2="00000008" w:usb3="00000000" w:csb0="000001ff" w:csb1="00000000"/>
  </w:font>
  <w:font w:name="宋体">
    <w:altName w:val="SimSun"/>
    <w:charset w:val="86"/>
    <w:family w:val="auto"/>
    <w:panose1 w:val="02010600030101010101"/>
    <w:pitch w:val="variable"/>
    <w:sig w:usb0="00000003" w:usb1="080e0000" w:usb2="00000010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314a40">
    <w:pPr>
      <w:pStyle w:val="Footer"/>
      <w:rPr>
        <w:rStyle w:val="PageNumber"/>
        <w:szCs w:val="18"/>
        <w:sz w:val="18"/>
        <w:kern w:val="2"/>
        <w:lang w:val="en-US" w:eastAsia="zh-CN" w:bidi="ar-SA"/>
        <w:rFonts w:eastAsia="宋体"/>
      </w:rPr>
      <w:widowControl/>
      <w:tabs>
        <w:tab w:leader="none" w:val="center" w:pos="4153"/>
        <w:tab w:leader="none" w:val="right" w:pos="8306"/>
      </w:tabs>
      <w:snapToGrid w:val="0"/>
      <w:framePr w:xAlign="center" w:vAnchor="margin" w:wrap="around" w:hAnchor="text" w:yAlign="inline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2"/>
        <w:lang w:val="en-US" w:eastAsia="zh-CN" w:bidi="ar-SA"/>
        <w:rFonts w:eastAsia="宋体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314a40">
    <w:pPr>
      <w:pStyle w:val="Footer"/>
      <w:rPr>
        <w:rStyle w:val="PageNumber"/>
        <w:szCs w:val="18"/>
        <w:sz w:val="18"/>
        <w:kern w:val="2"/>
        <w:lang w:val="en-US" w:eastAsia="zh-CN" w:bidi="ar-SA"/>
        <w:rFonts w:eastAsia="宋体"/>
      </w:rPr>
      <w:widowControl/>
      <w:tabs>
        <w:tab w:leader="none" w:val="center" w:pos="4153"/>
        <w:tab w:leader="none" w:val="right" w:pos="8306"/>
      </w:tabs>
      <w:snapToGrid w:val="0"/>
      <w:framePr w:xAlign="center" w:vAnchor="margin" w:wrap="around" w:hAnchor="text" w:yAlign="inline"/>
      <w:jc w:val="left"/>
      <w:textAlignment w:val="baseline"/>
    </w:pPr>
    <w:r w:rsidR="0002651a">
      <w:rPr>
        <w:rStyle w:val="PageNumber"/>
        <w:noProof/>
        <w:szCs w:val="18"/>
        <w:sz w:val="18"/>
        <w:kern w:val="2"/>
        <w:lang w:bidi="ar-SA"/>
        <w:rFonts w:eastAsia="宋体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  <w:rFonts w:eastAsia="宋体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30e3217a"/>
    <w:multiLevelType w:val="multilevel"/>
    <w:tmpl w:val="c2084f72"/>
    <w:lvl w:ilvl="0">
      <w:start w:val="1"/>
      <w:numFmt w:val="decimal"/>
      <w:suff w:val="tab"/>
      <w:lvlText w:val="%1."/>
      <w:lvlJc w:val="left"/>
      <w:pPr>
        <w:pStyle w:val="Normal"/>
        <w:widowControl/>
        <w:ind w:hanging="420" w:left="4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1">
    <w:nsid w:val="3e6e5057"/>
    <w:multiLevelType w:val="hybridMultilevel"/>
    <w:tmpl w:val="c2084f72"/>
    <w:lvl w:ilvl="0">
      <w:start w:val="1"/>
      <w:numFmt w:val="decimal"/>
      <w:suff w:val="tab"/>
      <w:lvlText w:val="%1."/>
      <w:lvlJc w:val="left"/>
      <w:pPr>
        <w:pStyle w:val="Normal"/>
        <w:widowControl/>
        <w:ind w:hanging="420" w:left="4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2">
    <w:nsid w:val="5f5764e3"/>
    <w:multiLevelType w:val="multilevel"/>
    <w:tmpl w:val="c2084f72"/>
    <w:lvl w:ilvl="0">
      <w:start w:val="1"/>
      <w:numFmt w:val="decimal"/>
      <w:suff w:val="tab"/>
      <w:lvlText w:val="%1."/>
      <w:lvlJc w:val="left"/>
      <w:pPr>
        <w:pStyle w:val="Normal"/>
        <w:widowControl/>
        <w:ind w:hanging="420" w:left="4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00"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adjustLineHeightInTable/>
    <w:balanceSingleByteDoubleByteWidth/>
    <w:doNotExpandShiftReturn/>
    <w:doNotLeaveBackslashAlone/>
  </w:compat>
  <w:rsids>
    <w:rsid w:val="0002651a"/>
    <w:rsid w:val="00314a40"/>
    <w:rsid w:val="004e344b"/>
    <w:rsid w:val="00f13a6f"/>
    <w:rsid w:val="00426492"/>
    <w:rsid w:val="00ff00b1"/>
    <w:rsid w:val="00800737"/>
    <w:rsid w:val="00197d9f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  <w:rFonts w:eastAsia="宋体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eastAsia="宋体"/>
    </w:rPr>
  </w:style>
  <w:style w:type="character" w:styleId="PageNumber">
    <w:name w:val="PageNumber"/>
    <w:basedOn w:val="NormalCharacter"/>
    <w:next w:val="PageNumber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02651a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sectPr>
          <w:footerReference w:type="even" r:id="rId3"/>
          <w:footerReference w:type="default" r:id="rId4"/>
          <w:vAlign w:val="top"/>
          <w:type w:val="nextPage"/>
          <w:pgSz w:h="16838" w:w="11906" w:orient="portrait"/>
          <w:pgMar w:gutter="0" w:header="851" w:top="1304" w:bottom="1134" w:footer="992" w:left="1474" w:right="1474"/>
          <w:lnNumType w:countBy="0"/>
          <w:paperSrc w:first="0" w:other="0"/>
          <w:cols w:space="425" w:num="1"/>
          <w:docGrid w:charSpace="0" w:linePitch="312" w:type="lines"/>
        </w:sectPr>
        <w:spacing w:line="420" w:lineRule="exact"/>
        <w:jc w:val="center"/>
        <w:textAlignment w:val="baseline"/>
      </w:pPr>
      <w:r w:rsidR="0002651a">
        <w:rPr>
          <w:rStyle w:val="NormalCharacter"/>
          <w:b/>
          <w:szCs w:val="28"/>
          <w:sz w:val="28"/>
          <w:kern w:val="2"/>
          <w:lang w:val="en-US" w:eastAsia="zh-CN" w:bidi="ar-SA"/>
          <w:rFonts w:eastAsia="宋体"/>
        </w:rPr>
        <w:t xml:space="preserve">交流课题大纲</w:t>
      </w:r>
    </w:p>
    <w:p w:rsidP="0002651a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center"/>
        <w:textAlignment w:val="baseline"/>
        <w:numPr>
          <w:ilvl w:val="0"/>
          <w:numId w:val="1"/>
        </w:numPr>
      </w:pPr>
      <w:r w:rsidR="0002651a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与工程有关的法律法规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司法解释，规范性文件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三通一平、七通一平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临时用地、临建设施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开工典礼与开工日期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开工日期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竣工日期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施工组织设计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施工方案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施工进度计划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工程图纸审查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图纸会审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第一次工地会议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工地例会纪要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工作联系单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工程签证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工程索赔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工程洽商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补充协议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施工日志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监理日志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施工资料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监理资料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质量监管资料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电子数据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</w:t>
      </w: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视听资料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以房抵债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以物抵债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设计变更、工程变更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合同外工程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工程分包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</w:t>
      </w: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转包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工程挂靠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材料</w:t>
      </w: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设备</w:t>
      </w: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供应、采购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甲供材料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固定总价合同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固定单价合同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可调价合同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成本加酬金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材料涨价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情势变更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工程预付款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工程进度款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工程结算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工程垫资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项目融资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企业现金流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商业承兑汇票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银行承兑汇票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合同工期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工程质量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安全管理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合同主体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工程范围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合同内容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合同的履行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合同效力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违约责任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损失赔偿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减损义务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意思表示一致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权利放弃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利息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案件管辖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工程纠纷审判现状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背靠背条款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停工、窝工损失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人工、机械闲置损失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</w:t>
      </w: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质量</w:t>
      </w: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鉴定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工程造价鉴定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工期鉴定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工程质量原因鉴定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工程修复方案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维修费用鉴定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工期延误原因鉴定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延误造成损失鉴定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现场勘验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工程总承包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施工总承包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联合体投标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联合承包人责任承担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企业资质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个人承包工程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内部承包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交叉施工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项目经理权限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职务代理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表见代理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项目部合同签订权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项目部公章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签字、盖章的法律意义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项目部对外公示资料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工程质量报监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安全报监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机械设备备案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挂靠人的代理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分包人的代理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农民工工资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农民工工资专用账户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超付追偿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劳务分包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专业分包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指定分包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专业人士注意义务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工程侵权责任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优先权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抵押权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工伤保险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安全责任险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意外伤害险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雇主责任险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预付款担保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工程款支付担保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履约担保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投标担保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规划许可证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施工许可证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预售许可证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竣工验收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竣工验收备案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综合验收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工程合格的认定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人工费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材料费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机械使用费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管理费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利润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税金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计日工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暂估价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暂定价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暂列金额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措施项目费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规费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总承包服务费、配合费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劳务费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安全文明施工费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人防工程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水、电费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下浮率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质量保证金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缺陷责任期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合同组成文件的效力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合作开发方的付款义务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开发票</w:t>
      </w: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与工程款支付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工期延误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擅自使用工程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工程保修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建设期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运营期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合同解除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实际施工人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合同相对性突破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代位权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资料作为证据管理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工程纠纷诉讼与仲裁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工程审计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工程审价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标准合同文件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建设工程合同</w:t>
      </w: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范本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通用条款的法律地位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专用条款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定额计价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清单计价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工程量风险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工程单价风险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赶工费用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工程利润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半拉子、烂尾工程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甩项工程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工程纠纷边界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自认、确认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违章建筑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司法拍卖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不可抗力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不利地质条件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异常气候条件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政府行为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法律法规变化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426492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环保政策影响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工程常见法律责任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招标文件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投标文件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招标控制价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投标价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中标价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合同价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工程造价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不平衡报价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串通投标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实质性影响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低于成本价中标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招标图纸与施工图纸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800737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工程折价拍卖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工程实施常见纠纷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f00b1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企业合规管理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197d9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非诉程序解决纠纷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专业律师与普通律师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工程项目专项法律服务</w:t>
      </w:r>
    </w:p>
    <w:p w:rsidP="004e344b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snapToGrid w:val="0"/>
        <w:ind w:firstLine="0" w:left="0"/>
        <w:spacing w:line="420" w:lineRule="exact"/>
        <w:jc w:val="both"/>
        <w:textAlignment w:val="baseline"/>
        <w:numPr>
          <w:ilvl w:val="0"/>
          <w:numId w:val="1"/>
        </w:numPr>
      </w:pPr>
      <w:r w:rsidR="00f13a6f">
        <w:rPr>
          <w:rStyle w:val="NormalCharacter"/>
          <w:szCs w:val="24"/>
          <w:sz w:val="21"/>
          <w:kern w:val="2"/>
          <w:lang w:val="en-US" w:eastAsia="zh-CN" w:bidi="ar-SA"/>
          <w:rFonts w:eastAsia="宋体"/>
        </w:rPr>
        <w:t xml:space="preserve">全过程法律服务</w:t>
      </w:r>
    </w:p>
    <w:sectPr>
      <w:vAlign w:val="top"/>
      <w:type w:val="continuous"/>
      <w:pgSz w:h="16838" w:w="11906" w:orient="portrait"/>
      <w:pgMar w:gutter="0" w:header="851" w:top="1304" w:bottom="1134" w:footer="992" w:left="1474" w:right="1474"/>
      <w:lnNumType w:countBy="0"/>
      <w:paperSrc w:first="0" w:other="0"/>
      <w:cols w:space="425" w:num="3"/>
      <w:docGrid w:charSpace="0" w:linePitch="312" w:type="lines"/>
    </w:sectPr>
  </w:body>
</w:document>
</file>

<file path=treport/opRecord.xml>
</file>